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关于出席第六届新疆品牌节暨500强新疆企业论坛的邀请函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兵团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企业联合会：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为贯彻国务院《关于发挥品牌引领作用推动供需结构升级的意见》文件精神，</w:t>
      </w:r>
      <w:r>
        <w:rPr>
          <w:rFonts w:hint="eastAsia" w:ascii="仿宋" w:hAnsi="仿宋" w:eastAsia="仿宋"/>
          <w:sz w:val="32"/>
          <w:szCs w:val="32"/>
          <w:lang w:eastAsia="zh-CN"/>
        </w:rPr>
        <w:t>落实习近平总书记提出建设“一带一路”的重要指示，推动“三个转变”</w:t>
      </w:r>
      <w:r>
        <w:rPr>
          <w:rFonts w:hint="eastAsia" w:ascii="仿宋" w:hAnsi="仿宋" w:eastAsia="仿宋"/>
          <w:sz w:val="32"/>
          <w:szCs w:val="32"/>
        </w:rPr>
        <w:t>的战略思想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即推动“中国制造向中国创造转变、中国速度向中国质量转变、中国产品向中国品牌转变”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加快品牌创建，深入推进供给侧结构性改革，提高企业综合效益和竞争力，促进品牌增效和企业增收。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自治区工商联、兵团工商联、新疆经济报社、新疆老科技工作者协会、新疆区域品牌经济发展促进会、品牌新疆网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等单位联合主办的第六届新疆品牌节于2017年8月5日在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新疆乌鲁木齐国际会展中心隆重举行。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活动以“弘扬工匠精神，提升供给质量，促进新疆品牌崛起”为主题，有来自全国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的官、产、学、研、媒、资等近千人出席。为了加强与地方政府和企业的交流与合作，引导新疆大企业把握机遇，迎接挑战，加快改革创新和转型升级步伐，努力提高发展质量和国际竞争力，开创新的发展局面，为此，中国企业联合会常务副会长兼理事长朱宏任出席并举办“500强新疆企业论坛”，与新疆“中国500强企业”和中国企业联合会会员单位交流座谈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新疆品牌节已成功举办五届，凭借专业、严谨的活动组织管理、高标准的展示平台，赢得了新疆各界的一致好评，被誉为新疆最受瞩目、最具影响力的品牌盛会。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为此，诚邀贵单位及会员全程出席本届活动并发言。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附件：1、简易流程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2、出席嘉宾名单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3、参会回执表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单  位：新疆区域品牌经济发展促进会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秘书长：尹  锋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电  话：0991-4332130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手  机：13009612990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840" w:firstLineChars="1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新疆区域品牌经济发展促进会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二〇一七年七月二十五日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附件1：</w:t>
      </w:r>
    </w:p>
    <w:tbl>
      <w:tblPr>
        <w:tblStyle w:val="5"/>
        <w:tblpPr w:leftFromText="180" w:rightFromText="180" w:vertAnchor="text" w:horzAnchor="page" w:tblpX="1812" w:tblpY="446"/>
        <w:tblOverlap w:val="never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6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77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楷体_GB2312"/>
                <w:b/>
                <w:sz w:val="40"/>
                <w:szCs w:val="40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sz w:val="40"/>
                <w:szCs w:val="40"/>
                <w:lang w:eastAsia="zh-CN"/>
              </w:rPr>
              <w:t>第六届新疆品牌节简易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sz w:val="40"/>
                <w:szCs w:val="40"/>
              </w:rPr>
              <w:t>流程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sz w:val="40"/>
                <w:szCs w:val="40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sz w:val="40"/>
                <w:szCs w:val="40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sz w:val="40"/>
                <w:szCs w:val="40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楷体_GB2312"/>
                <w:b/>
                <w:sz w:val="44"/>
                <w:szCs w:val="44"/>
              </w:rPr>
            </w:pPr>
            <w:r>
              <w:rPr>
                <w:rFonts w:hint="eastAsia" w:ascii="楷体" w:hAnsi="楷体" w:eastAsia="楷体" w:cs="楷体_GB2312"/>
                <w:b w:val="0"/>
                <w:bCs/>
                <w:sz w:val="28"/>
                <w:szCs w:val="28"/>
              </w:rPr>
              <w:t>时间：201</w:t>
            </w:r>
            <w:r>
              <w:rPr>
                <w:rFonts w:hint="eastAsia" w:ascii="楷体" w:hAnsi="楷体" w:eastAsia="楷体" w:cs="楷体_GB2312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_GB2312"/>
                <w:b w:val="0"/>
                <w:bCs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_GB2312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_GB2312"/>
                <w:b w:val="0"/>
                <w:bCs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_GB2312"/>
                <w:b w:val="0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_GB2312"/>
                <w:b w:val="0"/>
                <w:bCs/>
                <w:sz w:val="28"/>
                <w:szCs w:val="28"/>
              </w:rPr>
              <w:t>日</w:t>
            </w:r>
            <w:r>
              <w:rPr>
                <w:rFonts w:hint="eastAsia" w:ascii="楷体" w:hAnsi="楷体" w:eastAsia="楷体" w:cs="楷体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_GB2312"/>
                <w:b w:val="0"/>
                <w:bCs/>
                <w:sz w:val="28"/>
                <w:szCs w:val="28"/>
              </w:rPr>
              <w:t>地点：</w:t>
            </w:r>
            <w:r>
              <w:rPr>
                <w:rFonts w:hint="eastAsia" w:ascii="楷体" w:hAnsi="楷体" w:eastAsia="楷体" w:cs="楷体_GB2312"/>
                <w:b w:val="0"/>
                <w:bCs/>
                <w:sz w:val="28"/>
                <w:szCs w:val="28"/>
                <w:lang w:val="en-US" w:eastAsia="zh-CN"/>
              </w:rPr>
              <w:t>新疆国际会展中心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嘉宾入场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6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贵宾合影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奏唱国歌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23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0—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6654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第一部分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第六届新疆品牌节开幕式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6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主办方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—1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6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第二项  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—1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6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第三项 《“一带一路”区域品牌经济发展论坛》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—1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6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23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—1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6654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第二部分 第六届新疆品牌节平行发展论坛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6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平行论坛一：《500强新疆企业论坛》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平行论坛二：《新疆农业行业品牌发展论坛》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平行论坛三：《新疆酒行业品牌发展论坛》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平行论坛四：《新疆互联网产业发展论坛》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平行论坛五：《新疆医药行业品牌发展论坛》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23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—1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654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第三部分  第六届新疆品牌节颁奖盛典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23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654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第四部分  第六届新疆品牌节圆桌交流会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77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第六届新疆品牌节圆满结束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sz w:val="40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>出席嘉宾名单</w:t>
      </w:r>
    </w:p>
    <w:p>
      <w:p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北京嘉宾：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朱宏任  中国企业联合会常务副会长兼理事长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姜  明  中国商业联合会会长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郑砚农  中国电子商务协会副理事长，国家统计局大数据智库专家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谭新政  中国商业联合会副会长、国家标准委品牌评价专家委员会技术专家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李新社  国家工业信息安全发展研究中心副主任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于辉宏  国家防伪工程技术研究中心产品追溯委员会副主任</w:t>
      </w:r>
    </w:p>
    <w:p>
      <w:p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新疆嘉宾：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张思学  自治区原党委副书记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张国梁  自治区第十、第十一届人大常委会党组副书记、副主任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代宁祥  自治区党委原副秘书长、原农村工作办公室主任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池重庆  自治区原旅游局党组书记、自治区人民政府参事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魏生贵  自治区科协原巡视员、新疆老科协常务副会长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李寿山  自治区政协教科文卫体委员会原主任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史贯中  兵团工商联主席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晏果辉  新疆经济报社党委书记、社长、总编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苏国平  自治区经信委党组副书记、副主任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何国庆  自治区党委政研室副主任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王文明  自治区招商发展局党组成员、副局长，中国区域经济学会常务理事、自治区工商联副主席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赵生成  自治区机械电子工业行业管理办公室主任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努尔买买提·吐尼亚孜  自治区农业产业化发展局局长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赵君哲  新疆农业大学原党委副书记、新疆老教授协会常务副会长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  宁  自治区人民政府参事、新疆社会科学院经济研究所研究员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刘迪生  自治区发改委经济研究院副院长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李培军  自治区工商联原副主席</w:t>
      </w: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尹  锋  新疆区域品牌经济发展促进会秘书长</w:t>
      </w: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>参会回执表</w:t>
      </w:r>
    </w:p>
    <w:tbl>
      <w:tblPr>
        <w:tblStyle w:val="5"/>
        <w:tblpPr w:leftFromText="180" w:rightFromText="180" w:vertAnchor="text" w:horzAnchor="page" w:tblpX="1907" w:tblpY="361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700"/>
        <w:gridCol w:w="875"/>
        <w:gridCol w:w="1656"/>
        <w:gridCol w:w="1225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738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738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参会人员姓名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参会人员姓名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参会人员姓名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参会人员姓名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68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68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QQ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嘉宾对话论坛</w:t>
            </w:r>
          </w:p>
        </w:tc>
        <w:tc>
          <w:tcPr>
            <w:tcW w:w="738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届新疆品牌节·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500强新疆企业论坛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届新疆品牌节·新疆互联网文化发展论坛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届新疆品牌节·新疆农业行业发展论坛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届新疆品牌节·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新疆酒行业发展论坛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届新疆品牌节·新疆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品牌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发展论坛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38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联系电话：0991-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3056111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传真：0991-4332131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系人 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吕若平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手机：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18699102213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细黑一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“黑体”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流行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丫丫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书魂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柏青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楷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清韵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瘦金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细行楷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细等线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舒同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花蝶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萝卜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蝶语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超粗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超粗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长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长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陈频破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雁翎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雪峰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黑咪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黛玉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博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@汉仪中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@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76F29"/>
    <w:rsid w:val="02A41017"/>
    <w:rsid w:val="07171980"/>
    <w:rsid w:val="15745EE9"/>
    <w:rsid w:val="168E1083"/>
    <w:rsid w:val="1BF359B9"/>
    <w:rsid w:val="1F2B13E4"/>
    <w:rsid w:val="26A43DA4"/>
    <w:rsid w:val="316D0A9A"/>
    <w:rsid w:val="354F286A"/>
    <w:rsid w:val="358B6453"/>
    <w:rsid w:val="381F65CF"/>
    <w:rsid w:val="39837966"/>
    <w:rsid w:val="39D445BB"/>
    <w:rsid w:val="522B41BD"/>
    <w:rsid w:val="56976F29"/>
    <w:rsid w:val="57430EFD"/>
    <w:rsid w:val="57DE3452"/>
    <w:rsid w:val="5ABB0AE4"/>
    <w:rsid w:val="64C45A87"/>
    <w:rsid w:val="65B30D30"/>
    <w:rsid w:val="67C67632"/>
    <w:rsid w:val="6A1C2210"/>
    <w:rsid w:val="78152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2017-07-25T08:07:00Z</dcterms:created>
  <dc:creator>Administrator</dc:creator>
  <cp:lastModifiedBy>Administrator</cp:lastModifiedBy>
  <dcterms:modified xsi:type="dcterms:W3CDTF">2017-07-28T02:05:19Z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